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58368" cy="506316"/>
            <wp:docPr id="1" name="Picture 1" descr="StartAxis Consulting brand ma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506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100"/>
        <w:jc w:val="center"/>
      </w:pPr>
      <w:r>
        <w:rPr>
          <w:rFonts w:ascii="Calibri" w:hAnsi="Calibri"/>
          <w:b/>
          <w:color w:val="D8AC4E"/>
          <w:sz w:val="18"/>
        </w:rPr>
        <w:t>CORPORATE PROFILE · SAUDI ARABIA &amp; GCC · 2026</w:t>
      </w:r>
    </w:p>
    <w:p>
      <w:pPr>
        <w:spacing w:after="80"/>
        <w:jc w:val="center"/>
      </w:pPr>
      <w:r>
        <w:rPr>
          <w:rFonts w:ascii="Calibri" w:hAnsi="Calibri"/>
          <w:b/>
          <w:color w:val="063C30"/>
          <w:sz w:val="56"/>
        </w:rPr>
        <w:t>STARTAXIS</w:t>
      </w:r>
    </w:p>
    <w:p>
      <w:pPr>
        <w:spacing w:after="140"/>
        <w:jc w:val="center"/>
      </w:pPr>
      <w:r>
        <w:rPr>
          <w:rFonts w:ascii="Calibri" w:hAnsi="Calibri"/>
          <w:b/>
          <w:color w:val="D8AC4E"/>
          <w:sz w:val="48"/>
        </w:rPr>
        <w:t>Enterprise Intelligence 360</w:t>
      </w:r>
    </w:p>
    <w:p>
      <w:pPr>
        <w:spacing w:after="260"/>
        <w:jc w:val="center"/>
      </w:pPr>
      <w:r>
        <w:rPr>
          <w:rFonts w:ascii="Calibri" w:hAnsi="Calibri"/>
          <w:b/>
          <w:color w:val="5E6B66"/>
          <w:sz w:val="25"/>
        </w:rPr>
        <w:t>AI-Powered Management Intelligence, Automation &amp; Agentic AI Platform</w:t>
      </w:r>
    </w:p>
    <w:p>
      <w:pPr>
        <w:keepNext w:val="0"/>
        <w:spacing w:before="6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3275"/>
            <wp:docPr id="2" name="Picture 2" descr="Executives collaborating in an AI-powered enterprise command centre" title="Executives collaborating in an AI-powered enterprise command cent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ai-command-centre-v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9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/>
        <w:tc>
          <w:tcPr>
            <w:tcW w:type="dxa" w:w="9360"/>
            <w:vAlign w:val="center"/>
            <w:shd w:fill="063C30"/>
            <w:tcBorders>
              <w:top w:val="single" w:sz="4" w:color="063C30"/>
              <w:left w:val="single" w:sz="4" w:color="063C30"/>
              <w:bottom w:val="single" w:sz="4" w:color="063C30"/>
              <w:right w:val="single" w:sz="4" w:color="063C30"/>
            </w:tcBorders>
            <w:tcMar>
              <w:top w:w="170" w:type="dxa"/>
              <w:bottom w:w="170" w:type="dxa"/>
              <w:start w:w="190" w:type="dxa"/>
              <w:end w:w="190" w:type="dxa"/>
            </w:tcMar>
          </w:tcPr>
          <w:p>
            <w:pPr>
              <w:spacing w:after="60"/>
              <w:jc w:val="left"/>
            </w:pPr>
            <w:r>
              <w:rPr>
                <w:rFonts w:ascii="Calibri" w:hAnsi="Calibri"/>
                <w:b/>
                <w:color w:val="F0D28E"/>
                <w:sz w:val="17"/>
              </w:rPr>
              <w:t>OUR PROMISE</w:t>
            </w:r>
          </w:p>
          <w:p>
            <w:pPr>
              <w:spacing w:after="80"/>
              <w:jc w:val="left"/>
            </w:pPr>
            <w:r>
              <w:rPr>
                <w:rFonts w:ascii="Calibri" w:hAnsi="Calibri"/>
                <w:b/>
                <w:color w:val="FFFFFF"/>
                <w:sz w:val="30"/>
              </w:rPr>
              <w:t>See the whole business. Know what to do next.</w:t>
            </w:r>
          </w:p>
          <w:p>
            <w:pPr>
              <w:spacing w:after="0" w:line="283" w:lineRule="auto"/>
              <w:jc w:val="left"/>
            </w:pPr>
            <w:r>
              <w:rPr>
                <w:rFonts w:ascii="Calibri" w:hAnsi="Calibri"/>
                <w:color w:val="FFFFFF"/>
                <w:sz w:val="20"/>
              </w:rPr>
              <w:t>StartAxis converts fragmented business information into trusted management intelligence, predictive insight and governed action - without forcing organisations to replace the systems they already use.</w:t>
            </w:r>
          </w:p>
        </w:tc>
      </w:tr>
    </w:tbl>
    <w:p>
      <w:pPr>
        <w:spacing w:after="40"/>
      </w:pP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EXECUTIVE OVERVIEW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Practical AI for better business decisions and disciplined execution</w:t>
      </w:r>
    </w:p>
    <w:p>
      <w:pPr>
        <w:pStyle w:val="ProfileLead"/>
      </w:pPr>
      <w:r>
        <w:t>StartAxis Consulting is a Riyadh-based business transformation and enterprise AI intelligence advisory founded to help organisations convert strategy, data and operational experience into measurable performance.</w:t>
      </w:r>
    </w:p>
    <w:p>
      <w:r>
        <w:rPr>
          <w:rFonts w:ascii="Calibri" w:hAnsi="Calibri"/>
          <w:color w:val="14201C"/>
          <w:sz w:val="22"/>
        </w:rPr>
        <w:t>StartAxis Enterprise Intelligence 360 is an AI-powered management intelligence layer that works above existing ERP, CRM, finance, HR, operational systems, databases, spreadsheets and approved company knowledge. It provides one role-based view of performance, explains why results changed, forecasts what may happen next and helps management move from insight to accountable action.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9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/>
        <w:tc>
          <w:tcPr>
            <w:tcW w:type="dxa" w:w="9360"/>
            <w:vAlign w:val="center"/>
            <w:shd w:fill="F7F4EC"/>
            <w:tcBorders>
              <w:top w:val="single" w:sz="4" w:color="F7F4EC"/>
              <w:left w:val="single" w:sz="4" w:color="F7F4EC"/>
              <w:bottom w:val="single" w:sz="4" w:color="F7F4EC"/>
              <w:right w:val="single" w:sz="4" w:color="F7F4EC"/>
            </w:tcBorders>
            <w:tcMar>
              <w:top w:w="170" w:type="dxa"/>
              <w:bottom w:w="170" w:type="dxa"/>
              <w:start w:w="190" w:type="dxa"/>
              <w:end w:w="190" w:type="dxa"/>
            </w:tcMar>
          </w:tcPr>
          <w:p>
            <w:pPr>
              <w:spacing w:after="60"/>
              <w:jc w:val="left"/>
            </w:pPr>
            <w:r>
              <w:rPr>
                <w:rFonts w:ascii="Calibri" w:hAnsi="Calibri"/>
                <w:b/>
                <w:color w:val="0A4B3B"/>
                <w:sz w:val="17"/>
              </w:rPr>
              <w:t>IMPORTANT</w:t>
            </w:r>
          </w:p>
          <w:p>
            <w:pPr>
              <w:spacing w:after="80"/>
              <w:jc w:val="left"/>
            </w:pPr>
            <w:r>
              <w:rPr>
                <w:rFonts w:ascii="Calibri" w:hAnsi="Calibri"/>
                <w:b/>
                <w:color w:val="14201C"/>
                <w:sz w:val="30"/>
              </w:rPr>
              <w:t>Keep the systems that already run your business.</w:t>
            </w:r>
          </w:p>
          <w:p>
            <w:pPr>
              <w:spacing w:after="0" w:line="283" w:lineRule="auto"/>
              <w:jc w:val="left"/>
            </w:pPr>
            <w:r>
              <w:rPr>
                <w:rFonts w:ascii="Calibri" w:hAnsi="Calibri"/>
                <w:color w:val="14201C"/>
                <w:sz w:val="20"/>
              </w:rPr>
              <w:t>StartAxis can connect through agreed APIs, read-only databases, SQL or ETL feeds, and controlled Excel, CSV or Google Sheets exports. Clients retain control over access, hosting and data location.</w:t>
            </w:r>
          </w:p>
        </w:tc>
      </w:tr>
    </w:tbl>
    <w:p>
      <w:pPr>
        <w:spacing w:after="40"/>
      </w:pPr>
    </w:p>
    <w:p>
      <w:pPr>
        <w:pStyle w:val="Heading2"/>
      </w:pPr>
      <w:r>
        <w:t>What organisations gain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One management view: </w:t>
      </w:r>
      <w:r>
        <w:rPr>
          <w:rFonts w:ascii="Calibri" w:hAnsi="Calibri"/>
          <w:color w:val="14201C"/>
          <w:sz w:val="21"/>
        </w:rPr>
        <w:t>Unified financial, commercial, operational, workforce, customer, project and risk intelligence.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Faster decisions: </w:t>
      </w:r>
      <w:r>
        <w:rPr>
          <w:rFonts w:ascii="Calibri" w:hAnsi="Calibri"/>
          <w:color w:val="14201C"/>
          <w:sz w:val="21"/>
        </w:rPr>
        <w:t>Automated summaries, exceptions, root-cause explanations, forecasts and recommended actions.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Better execution: </w:t>
      </w:r>
      <w:r>
        <w:rPr>
          <w:rFonts w:ascii="Calibri" w:hAnsi="Calibri"/>
          <w:color w:val="14201C"/>
          <w:sz w:val="21"/>
        </w:rPr>
        <w:t>Clear owners, deadlines, approvals, follow-ups, escalation and outcome tracking.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More productive teams: </w:t>
      </w:r>
      <w:r>
        <w:rPr>
          <w:rFonts w:ascii="Calibri" w:hAnsi="Calibri"/>
          <w:color w:val="14201C"/>
          <w:sz w:val="21"/>
        </w:rPr>
        <w:t>Role-specific AI copilots, workflow automation and secure knowledge assistants.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Measurable value: </w:t>
      </w:r>
      <w:r>
        <w:rPr>
          <w:rFonts w:ascii="Calibri" w:hAnsi="Calibri"/>
          <w:color w:val="14201C"/>
          <w:sz w:val="21"/>
        </w:rPr>
        <w:t>Revenue, margin, cash, cost, productivity, customer and governance improvements tracked against agreed KPIs.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THE PLATFORM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Eight connected AI capabilities. One performance mission.</w:t>
      </w:r>
    </w:p>
    <w:p>
      <w:pPr>
        <w:pStyle w:val="ProfileLead"/>
      </w:pPr>
      <w:r>
        <w:t>The platform combines management experience, data integration, generative AI, predictive AI, automation and governed AI agents within a practical operating model.</w:t>
      </w:r>
    </w:p>
    <w:p>
      <w:pPr>
        <w:keepNext/>
        <w:spacing w:before="6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3275"/>
            <wp:docPr id="3" name="Picture 3" descr="A governed AI intelligence engine connecting multiple business functions" title="A governed AI intelligence engine connecting multiple business function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ai-intelligence-engine-v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80"/>
        <w:jc w:val="center"/>
      </w:pPr>
      <w:r>
        <w:rPr>
          <w:rFonts w:ascii="Calibri" w:hAnsi="Calibri"/>
          <w:i/>
          <w:color w:val="5E6B66"/>
          <w:sz w:val="17"/>
        </w:rPr>
        <w:t>One governed intelligence engine connecting every agreed business function.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AI Executive Command Centre: </w:t>
      </w:r>
      <w:r>
        <w:rPr>
          <w:rFonts w:ascii="Calibri" w:hAnsi="Calibri"/>
          <w:color w:val="14201C"/>
          <w:sz w:val="21"/>
        </w:rPr>
        <w:t>A single leadership view of revenue, margin, cash, operations, people, customers, projects, risks and strategic priorities.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AI Decision Intelligence: </w:t>
      </w:r>
      <w:r>
        <w:rPr>
          <w:rFonts w:ascii="Calibri" w:hAnsi="Calibri"/>
          <w:color w:val="14201C"/>
          <w:sz w:val="21"/>
        </w:rPr>
        <w:t>Exception detection, likely causes, trends, forecasts, scenarios and recommended management actions.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Agentic AI &amp; Action Management: </w:t>
      </w:r>
      <w:r>
        <w:rPr>
          <w:rFonts w:ascii="Calibri" w:hAnsi="Calibri"/>
          <w:color w:val="14201C"/>
          <w:sz w:val="21"/>
        </w:rPr>
        <w:t>AI-supported reporting, task routing, approvals, follow-up and escalation with human oversight.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AI Forecasting &amp; Scenario Planning: </w:t>
      </w:r>
      <w:r>
        <w:rPr>
          <w:rFonts w:ascii="Calibri" w:hAnsi="Calibri"/>
          <w:color w:val="14201C"/>
          <w:sz w:val="21"/>
        </w:rPr>
        <w:t>Demand, cash, inventory, capacity, churn, staffing and profitability simulations.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AI Workflow Automation: </w:t>
      </w:r>
      <w:r>
        <w:rPr>
          <w:rFonts w:ascii="Calibri" w:hAnsi="Calibri"/>
          <w:color w:val="14201C"/>
          <w:sz w:val="21"/>
        </w:rPr>
        <w:t>Reduced manual reporting, data consolidation, reminders, approvals and repetitive administration.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AI Knowledge &amp; SOP Assistant: </w:t>
      </w:r>
      <w:r>
        <w:rPr>
          <w:rFonts w:ascii="Calibri" w:hAnsi="Calibri"/>
          <w:color w:val="14201C"/>
          <w:sz w:val="21"/>
        </w:rPr>
        <w:t>Secure, source-grounded guidance from approved policies, procedures, checklists and knowledge.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Data &amp; KPI Integration: </w:t>
      </w:r>
      <w:r>
        <w:rPr>
          <w:rFonts w:ascii="Calibri" w:hAnsi="Calibri"/>
          <w:color w:val="14201C"/>
          <w:sz w:val="21"/>
        </w:rPr>
        <w:t>One governed KPI layer across systems, companies, branches and departments.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AI Governance, Training &amp; Adoption: </w:t>
      </w:r>
      <w:r>
        <w:rPr>
          <w:rFonts w:ascii="Calibri" w:hAnsi="Calibri"/>
          <w:color w:val="14201C"/>
          <w:sz w:val="21"/>
        </w:rPr>
        <w:t>Responsible-use rules, access control, auditability, human approval, adoption KPIs and capability building.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HOW IT WORKS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From existing business data to governed management action</w:t>
      </w:r>
    </w:p>
    <w:p>
      <w:pPr>
        <w:pStyle w:val="ProfileLead"/>
      </w:pPr>
      <w:r>
        <w:t>We begin with one valuable management problem, establish trusted definitions and build an AI operating rhythm that leadership and teams can use every day.</w:t>
      </w:r>
    </w:p>
    <w:p>
      <w:pPr>
        <w:keepNext/>
        <w:spacing w:before="6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074920" cy="2854642"/>
            <wp:docPr id="4" name="Picture 4" descr="Enterprise systems securely connected through an AI intelligence layer to decisions and actions" title="Enterprise systems securely connected through an AI intelligence layer to decisions and action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ai-integration-layer-v3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28546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80"/>
        <w:jc w:val="center"/>
      </w:pPr>
      <w:r>
        <w:rPr>
          <w:rFonts w:ascii="Calibri" w:hAnsi="Calibri"/>
          <w:i/>
          <w:color w:val="5E6B66"/>
          <w:sz w:val="17"/>
        </w:rPr>
        <w:t>Existing systems feed a secure intelligence layer; approved insight flows into decisions and accountable action.</w:t>
      </w:r>
    </w:p>
    <w:p>
      <w:pPr>
        <w:pStyle w:val="ListNumber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Connect. </w:t>
      </w:r>
      <w:r>
        <w:rPr>
          <w:rFonts w:ascii="Calibri" w:hAnsi="Calibri"/>
          <w:color w:val="14201C"/>
          <w:sz w:val="21"/>
        </w:rPr>
        <w:t>Securely connect agreed ERP, CRM, finance, HR, operational, database, spreadsheet, document and knowledge sources.</w:t>
      </w:r>
    </w:p>
    <w:p>
      <w:pPr>
        <w:pStyle w:val="ListNumber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Unify. </w:t>
      </w:r>
      <w:r>
        <w:rPr>
          <w:rFonts w:ascii="Calibri" w:hAnsi="Calibri"/>
          <w:color w:val="14201C"/>
          <w:sz w:val="21"/>
        </w:rPr>
        <w:t>Create common KPI definitions, data quality rules and one governed business context across functions, branches and companies.</w:t>
      </w:r>
    </w:p>
    <w:p>
      <w:pPr>
        <w:pStyle w:val="ListNumber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Understand. </w:t>
      </w:r>
      <w:r>
        <w:rPr>
          <w:rFonts w:ascii="Calibri" w:hAnsi="Calibri"/>
          <w:color w:val="14201C"/>
          <w:sz w:val="21"/>
        </w:rPr>
        <w:t>AI monitors signals, detects deviations, explains likely causes, identifies patterns and forecasts outcomes.</w:t>
      </w:r>
    </w:p>
    <w:p>
      <w:pPr>
        <w:pStyle w:val="ListNumber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Act. </w:t>
      </w:r>
      <w:r>
        <w:rPr>
          <w:rFonts w:ascii="Calibri" w:hAnsi="Calibri"/>
          <w:color w:val="14201C"/>
          <w:sz w:val="21"/>
        </w:rPr>
        <w:t>Leaders approve recommendations while AI agents support assignments, workflows, reminders, follow-up and escalation.</w:t>
      </w:r>
    </w:p>
    <w:p>
      <w:pPr>
        <w:pStyle w:val="ListNumber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Improve. </w:t>
      </w:r>
      <w:r>
        <w:rPr>
          <w:rFonts w:ascii="Calibri" w:hAnsi="Calibri"/>
          <w:color w:val="14201C"/>
          <w:sz w:val="21"/>
        </w:rPr>
        <w:t>Track outcomes, learn from decisions, refine management routines and expand into the next value area.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9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/>
        <w:tc>
          <w:tcPr>
            <w:tcW w:type="dxa" w:w="9360"/>
            <w:vAlign w:val="center"/>
            <w:shd w:fill="063C30"/>
            <w:tcBorders>
              <w:top w:val="single" w:sz="4" w:color="063C30"/>
              <w:left w:val="single" w:sz="4" w:color="063C30"/>
              <w:bottom w:val="single" w:sz="4" w:color="063C30"/>
              <w:right w:val="single" w:sz="4" w:color="063C30"/>
            </w:tcBorders>
            <w:tcMar>
              <w:top w:w="170" w:type="dxa"/>
              <w:bottom w:w="170" w:type="dxa"/>
              <w:start w:w="190" w:type="dxa"/>
              <w:end w:w="190" w:type="dxa"/>
            </w:tcMar>
          </w:tcPr>
          <w:p>
            <w:pPr>
              <w:spacing w:after="60"/>
              <w:jc w:val="left"/>
            </w:pPr>
            <w:r>
              <w:rPr>
                <w:rFonts w:ascii="Calibri" w:hAnsi="Calibri"/>
                <w:b/>
                <w:color w:val="F0D28E"/>
                <w:sz w:val="17"/>
              </w:rPr>
              <w:t>DEPLOYMENT CHOICE</w:t>
            </w:r>
          </w:p>
          <w:p>
            <w:pPr>
              <w:spacing w:after="80"/>
              <w:jc w:val="left"/>
            </w:pPr>
            <w:r>
              <w:rPr>
                <w:rFonts w:ascii="Calibri" w:hAnsi="Calibri"/>
                <w:b/>
                <w:color w:val="FFFFFF"/>
                <w:sz w:val="30"/>
              </w:rPr>
              <w:t>Cloud, private cloud or on-premises - based on client requirements.</w:t>
            </w:r>
          </w:p>
          <w:p>
            <w:pPr>
              <w:spacing w:after="0" w:line="283" w:lineRule="auto"/>
              <w:jc w:val="left"/>
            </w:pPr>
            <w:r>
              <w:rPr>
                <w:rFonts w:ascii="Calibri" w:hAnsi="Calibri"/>
                <w:color w:val="FFFFFF"/>
                <w:sz w:val="20"/>
              </w:rPr>
              <w:t>The implementation design is agreed with the client's management and IT teams. Data ownership, access rights, security, integrations and approval limits remain clearly defined.</w:t>
            </w:r>
          </w:p>
        </w:tc>
      </w:tr>
    </w:tbl>
    <w:p>
      <w:pPr>
        <w:spacing w:after="40"/>
      </w:pP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AI-ENABLED WORKFORCE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The right intelligence for every role, at the right moment</w:t>
      </w:r>
    </w:p>
    <w:p>
      <w:pPr>
        <w:pStyle w:val="ProfileLead"/>
      </w:pPr>
      <w:r>
        <w:t>StartAxis creates role-based AI experiences. Every user sees only the data, recommendations, tools and actions relevant to their responsibilities and approved access.</w:t>
      </w:r>
    </w:p>
    <w:p>
      <w:pPr>
        <w:keepNext w:val="0"/>
        <w:spacing w:before="6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3275"/>
            <wp:docPr id="5" name="Picture 5" descr="Saudi and GCC business teams using AI copilots across enterprise functions" title="Saudi and GCC business teams using AI copilots across enterprise function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ai-workforce-v2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Board, owners and CEO: </w:t>
      </w:r>
      <w:r>
        <w:rPr>
          <w:rFonts w:ascii="Calibri" w:hAnsi="Calibri"/>
          <w:color w:val="14201C"/>
          <w:sz w:val="21"/>
        </w:rPr>
        <w:t>AI briefings, strategic signals, scenario comparisons, investment risk and enterprise-wide action visibility.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CFO and finance: </w:t>
      </w:r>
      <w:r>
        <w:rPr>
          <w:rFonts w:ascii="Calibri" w:hAnsi="Calibri"/>
          <w:color w:val="14201C"/>
          <w:sz w:val="21"/>
        </w:rPr>
        <w:t>Management reporting, cash forecasting, collections, variance analysis, cost control, working capital and profitability.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COO and operations: </w:t>
      </w:r>
      <w:r>
        <w:rPr>
          <w:rFonts w:ascii="Calibri" w:hAnsi="Calibri"/>
          <w:color w:val="14201C"/>
          <w:sz w:val="21"/>
        </w:rPr>
        <w:t>Bottlenecks, SLA failures, downtime, capacity, productivity gaps and corrective-action management.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Sales and marketing: </w:t>
      </w:r>
      <w:r>
        <w:rPr>
          <w:rFonts w:ascii="Calibri" w:hAnsi="Calibri"/>
          <w:color w:val="14201C"/>
          <w:sz w:val="21"/>
        </w:rPr>
        <w:t>Lead prioritisation, forecasts, churn signals, conversion, customer follow-up and market patterns.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HR and people leaders: </w:t>
      </w:r>
      <w:r>
        <w:rPr>
          <w:rFonts w:ascii="Calibri" w:hAnsi="Calibri"/>
          <w:color w:val="14201C"/>
          <w:sz w:val="21"/>
        </w:rPr>
        <w:t>Workforce planning, attendance, capability mapping, onboarding, policy support and employee services.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IT, data and compliance: </w:t>
      </w:r>
      <w:r>
        <w:rPr>
          <w:rFonts w:ascii="Calibri" w:hAnsi="Calibri"/>
          <w:color w:val="14201C"/>
          <w:sz w:val="21"/>
        </w:rPr>
        <w:t>Controlled access, traceable sources, security rules, human approvals, adoption monitoring and audit trails.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Managers and frontline teams: </w:t>
      </w:r>
      <w:r>
        <w:rPr>
          <w:rFonts w:ascii="Calibri" w:hAnsi="Calibri"/>
          <w:color w:val="14201C"/>
          <w:sz w:val="21"/>
        </w:rPr>
        <w:t>Daily summaries, SOP guidance, task prioritisation, customer responses, reporting and faster problem-solving.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INDUSTRY INTELLIGENCE EDITIONS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Built around how each sector actually operates</w:t>
      </w:r>
    </w:p>
    <w:p>
      <w:pPr>
        <w:pStyle w:val="ProfileLead"/>
      </w:pPr>
      <w:r>
        <w:t>Every edition is configured around the client's terminology, decisions, KPIs, workflows, controls and value drivers.</w:t>
      </w:r>
    </w:p>
    <w:p>
      <w:pPr>
        <w:keepNext w:val="0"/>
        <w:spacing w:before="6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3275"/>
            <wp:docPr id="6" name="Picture 6" descr="AI connecting multiple Saudi and GCC industries in one intelligent business ecosystem" title="AI connecting multiple Saudi and GCC industries in one intelligent business ecosyste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ai-industries-v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Automotive &amp; Aftersales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Vehicle sales, lead funnel, workshop productivity, labour, parts, warranty, customer retention, branch contribution and demand signals.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Fleet, Leasing &amp; Mobility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Utilisation, contracts, renewals, maintenance, downtime, collections, residual value, driver risk and asset profitability.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Logistics &amp; Distribution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Orders, routes, warehouse flow, on-time delivery, fleet cost, customer SLA, inventory and disruption alerts.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Manufacturing &amp; Industrial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Output, quality, downtime, maintenance, yield, cost, safety, capacity and AI-assisted production planning.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Construction &amp; Contracting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Project margin, progress, labour, procurement, variation orders, cash flow, risk and delay prediction.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Retail, Wholesale &amp; E-commerce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Sales, category margin, stock, pricing, promotions, customer behaviour, demand and channel performance.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INDUSTRY INTELLIGENCE EDITIONS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From service organisations to multi-business groups</w:t>
      </w:r>
    </w:p>
    <w:p>
      <w:pPr>
        <w:pStyle w:val="ProfileLead"/>
      </w:pPr>
      <w:r>
        <w:t>StartAxis can begin with one branch or function and scale progressively across the organisation.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Healthcare &amp; Clinics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Appointments, utilisation, patient flow, revenue, claims, service quality, staffing and operational alerts.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Hospitality &amp; Restaurants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Occupancy or covers, revenue, food cost, labour, guest experience, wastage, forecasts and location performance.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Facilities &amp; Property Management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Assets, work orders, SLA, tenants, vendors, energy, preventive maintenance, cost and compliance.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School &amp; Education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Admissions, attendance, fees, academics, teachers, parents, transport, facilities, student risk and campus performance.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Gym &amp; Wellness AI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Memberships, renewals, churn risk, trainer utilisation, engagement, equipment, collections and branch EBITDA.</w:t>
      </w:r>
    </w:p>
    <w:p>
      <w:pPr>
        <w:pStyle w:val="Heading2"/>
        <w:keepNext/>
        <w:spacing w:before="100" w:after="30"/>
      </w:pPr>
      <w:r>
        <w:rPr>
          <w:rFonts w:ascii="Calibri" w:hAnsi="Calibri"/>
          <w:b/>
          <w:color w:val="063C30"/>
          <w:sz w:val="22"/>
        </w:rPr>
        <w:t>SMEs, Family Groups &amp; Multi-Business Intelligence 360</w:t>
      </w:r>
    </w:p>
    <w:p>
      <w:pPr>
        <w:keepLines/>
        <w:spacing w:after="90" w:line="276" w:lineRule="auto"/>
        <w:jc w:val="left"/>
      </w:pPr>
      <w:r>
        <w:rPr>
          <w:rFonts w:ascii="Calibri" w:hAnsi="Calibri"/>
          <w:color w:val="5E6B66"/>
          <w:sz w:val="19"/>
        </w:rPr>
        <w:t>Group-wide companies, branches, cash, profit, growth, risks, shared services and owner priorities.</w:t>
      </w:r>
    </w:p>
    <w:p>
      <w:pPr>
        <w:pStyle w:val="Heading2"/>
      </w:pPr>
      <w:r>
        <w:t>Additional configurable sectors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Service businesses: </w:t>
      </w:r>
      <w:r>
        <w:rPr>
          <w:rFonts w:ascii="Calibri" w:hAnsi="Calibri"/>
          <w:color w:val="14201C"/>
          <w:sz w:val="21"/>
        </w:rPr>
        <w:t>Pest control, field services, maintenance, professional services and customer-support operations.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Heavy equipment and industrial services: </w:t>
      </w:r>
      <w:r>
        <w:rPr>
          <w:rFonts w:ascii="Calibri" w:hAnsi="Calibri"/>
          <w:color w:val="14201C"/>
          <w:sz w:val="21"/>
        </w:rPr>
        <w:t>Pipeline, equipment sales, rental, parts, service, utilisation, maintenance and working capital.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Trading and distribution networks: </w:t>
      </w:r>
      <w:r>
        <w:rPr>
          <w:rFonts w:ascii="Calibri" w:hAnsi="Calibri"/>
          <w:color w:val="14201C"/>
          <w:sz w:val="21"/>
        </w:rPr>
        <w:t>Product, supplier, inventory, channel, customer, receivables, margin and territory intelligence.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9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/>
        <w:tc>
          <w:tcPr>
            <w:tcW w:type="dxa" w:w="9360"/>
            <w:vAlign w:val="center"/>
            <w:shd w:fill="E7F0EC"/>
            <w:tcBorders>
              <w:top w:val="single" w:sz="4" w:color="E7F0EC"/>
              <w:left w:val="single" w:sz="4" w:color="E7F0EC"/>
              <w:bottom w:val="single" w:sz="4" w:color="E7F0EC"/>
              <w:right w:val="single" w:sz="4" w:color="E7F0EC"/>
            </w:tcBorders>
            <w:tcMar>
              <w:top w:w="170" w:type="dxa"/>
              <w:bottom w:w="170" w:type="dxa"/>
              <w:start w:w="190" w:type="dxa"/>
              <w:end w:w="190" w:type="dxa"/>
            </w:tcMar>
          </w:tcPr>
          <w:p>
            <w:pPr>
              <w:spacing w:after="60"/>
              <w:jc w:val="left"/>
            </w:pPr>
            <w:r>
              <w:rPr>
                <w:rFonts w:ascii="Calibri" w:hAnsi="Calibri"/>
                <w:b/>
                <w:color w:val="0A4B3B"/>
                <w:sz w:val="17"/>
              </w:rPr>
              <w:t>CONFIGURABLE BY DESIGN</w:t>
            </w:r>
          </w:p>
          <w:p>
            <w:pPr>
              <w:spacing w:after="80"/>
              <w:jc w:val="left"/>
            </w:pPr>
            <w:r>
              <w:rPr>
                <w:rFonts w:ascii="Calibri" w:hAnsi="Calibri"/>
                <w:b/>
                <w:color w:val="14201C"/>
                <w:sz w:val="30"/>
              </w:rPr>
              <w:t>Not a one-size-fits-all dashboard.</w:t>
            </w:r>
          </w:p>
          <w:p>
            <w:pPr>
              <w:spacing w:after="0" w:line="283" w:lineRule="auto"/>
              <w:jc w:val="left"/>
            </w:pPr>
            <w:r>
              <w:rPr>
                <w:rFonts w:ascii="Calibri" w:hAnsi="Calibri"/>
                <w:color w:val="14201C"/>
                <w:sz w:val="20"/>
              </w:rPr>
              <w:t>Each solution is designed around the management questions the client needs answered, the decisions users must make and the controls required to act safely.</w:t>
            </w:r>
          </w:p>
        </w:tc>
      </w:tr>
    </w:tbl>
    <w:p>
      <w:pPr>
        <w:spacing w:after="40"/>
      </w:pP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MANAGEMENT INTELLIGENCE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What leaders can see, understand and improve</w:t>
      </w:r>
    </w:p>
    <w:p>
      <w:pPr>
        <w:pStyle w:val="ProfileLead"/>
      </w:pPr>
      <w:r>
        <w:t>The command centre creates one version of the truth while department-level views translate enterprise priorities into role-specific execution.</w:t>
      </w:r>
    </w:p>
    <w:p>
      <w:pPr>
        <w:keepNext/>
        <w:spacing w:before="6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943600" cy="3716731"/>
            <wp:docPr id="7" name="Picture 7" descr="All-in-one CEO dashboard showing financial, commercial and operational intelligence" title="All-in-one CEO dashboard showing financial, commercial and operational intellig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ceo-dashboard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6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80"/>
        <w:jc w:val="center"/>
      </w:pPr>
      <w:r>
        <w:rPr>
          <w:rFonts w:ascii="Calibri" w:hAnsi="Calibri"/>
          <w:i/>
          <w:color w:val="5E6B66"/>
          <w:sz w:val="17"/>
        </w:rPr>
        <w:t>Illustrative dashboard using clearly identified sample data; final KPIs are agreed with each client.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Financial intelligence: </w:t>
      </w:r>
      <w:r>
        <w:rPr>
          <w:rFonts w:ascii="Calibri" w:hAnsi="Calibri"/>
          <w:color w:val="14201C"/>
          <w:sz w:val="21"/>
        </w:rPr>
        <w:t>P&amp;L, revenue, gross profit, EBITDA, cash, collections, receivables, expenses and working capital.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Commercial intelligence: </w:t>
      </w:r>
      <w:r>
        <w:rPr>
          <w:rFonts w:ascii="Calibri" w:hAnsi="Calibri"/>
          <w:color w:val="14201C"/>
          <w:sz w:val="21"/>
        </w:rPr>
        <w:t>Pipeline, conversion, pricing, mix, customer acquisition, retention, churn and market performance.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Operational intelligence: </w:t>
      </w:r>
      <w:r>
        <w:rPr>
          <w:rFonts w:ascii="Calibri" w:hAnsi="Calibri"/>
          <w:color w:val="14201C"/>
          <w:sz w:val="21"/>
        </w:rPr>
        <w:t>Capacity, productivity, SLA, quality, turnaround time, utilisation, downtime and process compliance.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Inventory and asset intelligence: </w:t>
      </w:r>
      <w:r>
        <w:rPr>
          <w:rFonts w:ascii="Calibri" w:hAnsi="Calibri"/>
          <w:color w:val="14201C"/>
          <w:sz w:val="21"/>
        </w:rPr>
        <w:t>Stock age, slow-moving items, availability, carrying cost, asset yield, maintenance and residual value.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People intelligence: </w:t>
      </w:r>
      <w:r>
        <w:rPr>
          <w:rFonts w:ascii="Calibri" w:hAnsi="Calibri"/>
          <w:color w:val="14201C"/>
          <w:sz w:val="21"/>
        </w:rPr>
        <w:t>Workforce, attendance, productivity, capability, compliance, Saudisation indicators and leadership actions.</w:t>
      </w:r>
    </w:p>
    <w:p>
      <w:pPr>
        <w:pStyle w:val="Heading2"/>
      </w:pPr>
      <w:r>
        <w:t>Measurable business outcomes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Growth: </w:t>
      </w:r>
      <w:r>
        <w:rPr>
          <w:rFonts w:ascii="Calibri" w:hAnsi="Calibri"/>
          <w:color w:val="14201C"/>
          <w:sz w:val="21"/>
        </w:rPr>
        <w:t>Higher revenue, better conversion, improved retention and stronger market execution.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Profitability: </w:t>
      </w:r>
      <w:r>
        <w:rPr>
          <w:rFonts w:ascii="Calibri" w:hAnsi="Calibri"/>
          <w:color w:val="14201C"/>
          <w:sz w:val="21"/>
        </w:rPr>
        <w:t>Lower leakage and cost, improved margin, productivity and return on working capital.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Control: </w:t>
      </w:r>
      <w:r>
        <w:rPr>
          <w:rFonts w:ascii="Calibri" w:hAnsi="Calibri"/>
          <w:color w:val="14201C"/>
          <w:sz w:val="21"/>
        </w:rPr>
        <w:t>Faster detection, stronger governance, clear accountability and disciplined corrective action.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GOVERNED AGENTIC AI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AI that does more than answer questions - while people remain accountable</w:t>
      </w:r>
    </w:p>
    <w:p>
      <w:pPr>
        <w:pStyle w:val="ProfileLead"/>
      </w:pPr>
      <w:r>
        <w:t>Agentic AI can monitor agreed signals, prepare analysis and support execution within defined access, approval and audit boundaries.</w:t>
      </w:r>
    </w:p>
    <w:p>
      <w:pPr>
        <w:pStyle w:val="ListNumber2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Observe. </w:t>
      </w:r>
      <w:r>
        <w:rPr>
          <w:rFonts w:ascii="Calibri" w:hAnsi="Calibri"/>
          <w:color w:val="14201C"/>
          <w:sz w:val="21"/>
        </w:rPr>
        <w:t>Monitor trusted KPIs, business events, documents, workflow status and authorised data sources.</w:t>
      </w:r>
    </w:p>
    <w:p>
      <w:pPr>
        <w:pStyle w:val="ListNumber2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Reason. </w:t>
      </w:r>
      <w:r>
        <w:rPr>
          <w:rFonts w:ascii="Calibri" w:hAnsi="Calibri"/>
          <w:color w:val="14201C"/>
          <w:sz w:val="21"/>
        </w:rPr>
        <w:t>Explain what changed, identify likely causes, assess risk, compare options and estimate impact.</w:t>
      </w:r>
    </w:p>
    <w:p>
      <w:pPr>
        <w:pStyle w:val="ListNumber2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Recommend. </w:t>
      </w:r>
      <w:r>
        <w:rPr>
          <w:rFonts w:ascii="Calibri" w:hAnsi="Calibri"/>
          <w:color w:val="14201C"/>
          <w:sz w:val="21"/>
        </w:rPr>
        <w:t>Prepare decisions, responses, action plans, reports, tasks or next-best actions for review.</w:t>
      </w:r>
    </w:p>
    <w:p>
      <w:pPr>
        <w:pStyle w:val="ListNumber2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Act with approval. </w:t>
      </w:r>
      <w:r>
        <w:rPr>
          <w:rFonts w:ascii="Calibri" w:hAnsi="Calibri"/>
          <w:color w:val="14201C"/>
          <w:sz w:val="21"/>
        </w:rPr>
        <w:t>Route work, notify owners, follow up and escalate within controlled permissions and audit trails.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9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/>
        <w:tc>
          <w:tcPr>
            <w:tcW w:type="dxa" w:w="9360"/>
            <w:vAlign w:val="center"/>
            <w:shd w:fill="063C30"/>
            <w:tcBorders>
              <w:top w:val="single" w:sz="4" w:color="063C30"/>
              <w:left w:val="single" w:sz="4" w:color="063C30"/>
              <w:bottom w:val="single" w:sz="4" w:color="063C30"/>
              <w:right w:val="single" w:sz="4" w:color="063C30"/>
            </w:tcBorders>
            <w:tcMar>
              <w:top w:w="170" w:type="dxa"/>
              <w:bottom w:w="170" w:type="dxa"/>
              <w:start w:w="190" w:type="dxa"/>
              <w:end w:w="190" w:type="dxa"/>
            </w:tcMar>
          </w:tcPr>
          <w:p>
            <w:pPr>
              <w:spacing w:after="60"/>
              <w:jc w:val="left"/>
            </w:pPr>
            <w:r>
              <w:rPr>
                <w:rFonts w:ascii="Calibri" w:hAnsi="Calibri"/>
                <w:b/>
                <w:color w:val="F0D28E"/>
                <w:sz w:val="17"/>
              </w:rPr>
              <w:t>HUMAN-LED BY DESIGN</w:t>
            </w:r>
          </w:p>
          <w:p>
            <w:pPr>
              <w:spacing w:after="80"/>
              <w:jc w:val="left"/>
            </w:pPr>
            <w:r>
              <w:rPr>
                <w:rFonts w:ascii="Calibri" w:hAnsi="Calibri"/>
                <w:b/>
                <w:color w:val="FFFFFF"/>
                <w:sz w:val="30"/>
              </w:rPr>
              <w:t>The client defines what AI may access, recommend, prepare or execute.</w:t>
            </w:r>
          </w:p>
          <w:p>
            <w:pPr>
              <w:spacing w:after="0" w:line="283" w:lineRule="auto"/>
              <w:jc w:val="left"/>
            </w:pPr>
            <w:r>
              <w:rPr>
                <w:rFonts w:ascii="Calibri" w:hAnsi="Calibri"/>
                <w:color w:val="FFFFFF"/>
                <w:sz w:val="20"/>
              </w:rPr>
              <w:t>Sensitive actions remain subject to human approval. StartAxis supports role-based access, source traceability, approval limits, auditability, responsible-use policies and adoption monitoring.</w:t>
            </w:r>
          </w:p>
        </w:tc>
      </w:tr>
    </w:tbl>
    <w:p>
      <w:pPr>
        <w:spacing w:after="40"/>
      </w:pPr>
    </w:p>
    <w:p>
      <w:pPr>
        <w:pStyle w:val="Heading2"/>
      </w:pPr>
      <w:r>
        <w:t>Governance and technology principles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Client-controlled data: </w:t>
      </w:r>
      <w:r>
        <w:rPr>
          <w:rFonts w:ascii="Calibri" w:hAnsi="Calibri"/>
          <w:color w:val="14201C"/>
          <w:sz w:val="21"/>
        </w:rPr>
        <w:t>The client retains ownership of data and determines hosting, access, retention and integration arrangements.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Least-privilege access: </w:t>
      </w:r>
      <w:r>
        <w:rPr>
          <w:rFonts w:ascii="Calibri" w:hAnsi="Calibri"/>
          <w:color w:val="14201C"/>
          <w:sz w:val="21"/>
        </w:rPr>
        <w:t>Users and AI functions receive only the permissions required for approved responsibilities.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Traceable intelligence: </w:t>
      </w:r>
      <w:r>
        <w:rPr>
          <w:rFonts w:ascii="Calibri" w:hAnsi="Calibri"/>
          <w:color w:val="14201C"/>
          <w:sz w:val="21"/>
        </w:rPr>
        <w:t>Important insights should reference approved sources and preserve reviewable logic or evidence.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Human approval: </w:t>
      </w:r>
      <w:r>
        <w:rPr>
          <w:rFonts w:ascii="Calibri" w:hAnsi="Calibri"/>
          <w:color w:val="14201C"/>
          <w:sz w:val="21"/>
        </w:rPr>
        <w:t>Critical decisions and actions remain subject to defined management authority.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Responsible adoption: </w:t>
      </w:r>
      <w:r>
        <w:rPr>
          <w:rFonts w:ascii="Calibri" w:hAnsi="Calibri"/>
          <w:color w:val="14201C"/>
          <w:sz w:val="21"/>
        </w:rPr>
        <w:t>Training, policies, change management and value tracking are built into implementation.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Progressive scaling: </w:t>
      </w:r>
      <w:r>
        <w:rPr>
          <w:rFonts w:ascii="Calibri" w:hAnsi="Calibri"/>
          <w:color w:val="14201C"/>
          <w:sz w:val="21"/>
        </w:rPr>
        <w:t>Begin with a controlled use case, prove value, strengthen governance and expand responsibly.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BUSINESS TRANSFORMATION SERVICES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AI-enabled execution backed by 35+ years of operating leadership</w:t>
      </w:r>
    </w:p>
    <w:p>
      <w:pPr>
        <w:pStyle w:val="ProfileLead"/>
      </w:pPr>
      <w:r>
        <w:t>Technology alone does not transform a business. StartAxis combines the platform with senior-led diagnostics, implementation, management routines, capability building and measurable performance improvement.</w:t>
      </w:r>
    </w:p>
    <w:p>
      <w:pPr>
        <w:keepNext w:val="0"/>
        <w:spacing w:before="60" w:after="200"/>
        <w:jc w:val="center"/>
      </w:pPr>
      <w:r>
        <w:drawing>
          <wp:inline xmlns:a="http://schemas.openxmlformats.org/drawingml/2006/main" xmlns:pic="http://schemas.openxmlformats.org/drawingml/2006/picture">
            <wp:extent cx="4800600" cy="3199257"/>
            <wp:docPr id="8" name="Picture 8" descr="Role-based AI and management capability workshop for executives and managers" title="Role-based AI and management capability workshop for executives and manager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taxis-ai-training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199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Business diagnostics and transformation: </w:t>
      </w:r>
      <w:r>
        <w:rPr>
          <w:rFonts w:ascii="Calibri" w:hAnsi="Calibri"/>
          <w:color w:val="14201C"/>
          <w:sz w:val="21"/>
        </w:rPr>
        <w:t>Performance assessment, strategic priorities, transformation roadmap, governance and implementation.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Sales and market growth: </w:t>
      </w:r>
      <w:r>
        <w:rPr>
          <w:rFonts w:ascii="Calibri" w:hAnsi="Calibri"/>
          <w:color w:val="14201C"/>
          <w:sz w:val="21"/>
        </w:rPr>
        <w:t>Pipeline, productivity, conversion, pricing, customer acquisition, channels and market expansion.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Operational excellence: </w:t>
      </w:r>
      <w:r>
        <w:rPr>
          <w:rFonts w:ascii="Calibri" w:hAnsi="Calibri"/>
          <w:color w:val="14201C"/>
          <w:sz w:val="21"/>
        </w:rPr>
        <w:t>Process improvement, SOPs, productivity, quality, controls, service performance and continuous improvement.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Profitability and cost optimisation: </w:t>
      </w:r>
      <w:r>
        <w:rPr>
          <w:rFonts w:ascii="Calibri" w:hAnsi="Calibri"/>
          <w:color w:val="14201C"/>
          <w:sz w:val="21"/>
        </w:rPr>
        <w:t>Margin leakage, contribution, cost structure, productivity, budgeting and sustainable savings.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Working capital, inventory and collections: </w:t>
      </w:r>
      <w:r>
        <w:rPr>
          <w:rFonts w:ascii="Calibri" w:hAnsi="Calibri"/>
          <w:color w:val="14201C"/>
          <w:sz w:val="21"/>
        </w:rPr>
        <w:t>Cash visibility, receivables, stock age, dead inventory, turns, credit control and collection discipline.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Leadership, governance and capability: </w:t>
      </w:r>
      <w:r>
        <w:rPr>
          <w:rFonts w:ascii="Calibri" w:hAnsi="Calibri"/>
          <w:color w:val="14201C"/>
          <w:sz w:val="21"/>
        </w:rPr>
        <w:t>Accountability, review rhythms, coaching, AI training, adoption and execution discipline.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Customer experience: </w:t>
      </w:r>
      <w:r>
        <w:rPr>
          <w:rFonts w:ascii="Calibri" w:hAnsi="Calibri"/>
          <w:color w:val="14201C"/>
          <w:sz w:val="21"/>
        </w:rPr>
        <w:t>Journey, standards, complaint management, retention, loyalty, service recovery and performance KPIs.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Implementation support: </w:t>
      </w:r>
      <w:r>
        <w:rPr>
          <w:rFonts w:ascii="Calibri" w:hAnsi="Calibri"/>
          <w:color w:val="14201C"/>
          <w:sz w:val="21"/>
        </w:rPr>
        <w:t>Founder-led engagement alongside client teams until new operating practices are embedded.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START SMALL. PROVE VALUE. SCALE WITH CONFIDENCE.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The 7-Day Management Intelligence Sprint</w:t>
      </w:r>
    </w:p>
    <w:p>
      <w:pPr>
        <w:pStyle w:val="ProfileLead"/>
      </w:pPr>
      <w:r>
        <w:t>A fast, low-risk starting point for one branch, department or priority management problem using an agreed data export from the client's current system.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9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/>
        <w:tc>
          <w:tcPr>
            <w:tcW w:type="dxa" w:w="9360"/>
            <w:vAlign w:val="center"/>
            <w:shd w:fill="063C30"/>
            <w:tcBorders>
              <w:top w:val="single" w:sz="4" w:color="063C30"/>
              <w:left w:val="single" w:sz="4" w:color="063C30"/>
              <w:bottom w:val="single" w:sz="4" w:color="063C30"/>
              <w:right w:val="single" w:sz="4" w:color="063C30"/>
            </w:tcBorders>
            <w:tcMar>
              <w:top w:w="170" w:type="dxa"/>
              <w:bottom w:w="170" w:type="dxa"/>
              <w:start w:w="190" w:type="dxa"/>
              <w:end w:w="190" w:type="dxa"/>
            </w:tcMar>
          </w:tcPr>
          <w:p>
            <w:pPr>
              <w:spacing w:after="60"/>
              <w:jc w:val="left"/>
            </w:pPr>
            <w:r>
              <w:rPr>
                <w:rFonts w:ascii="Calibri" w:hAnsi="Calibri"/>
                <w:b/>
                <w:color w:val="F0D28E"/>
                <w:sz w:val="17"/>
              </w:rPr>
              <w:t>FOUNDER-LED ENTRY OFFER</w:t>
            </w:r>
          </w:p>
          <w:p>
            <w:pPr>
              <w:spacing w:after="80"/>
              <w:jc w:val="left"/>
            </w:pPr>
            <w:r>
              <w:rPr>
                <w:rFonts w:ascii="Calibri" w:hAnsi="Calibri"/>
                <w:b/>
                <w:color w:val="FFFFFF"/>
                <w:sz w:val="30"/>
              </w:rPr>
              <w:t>SAR 10,000 total investment</w:t>
            </w:r>
          </w:p>
          <w:p>
            <w:pPr>
              <w:spacing w:after="0" w:line="283" w:lineRule="auto"/>
              <w:jc w:val="left"/>
            </w:pPr>
            <w:r>
              <w:rPr>
                <w:rFonts w:ascii="Calibri" w:hAnsi="Calibri"/>
                <w:color w:val="FFFFFF"/>
                <w:sz w:val="20"/>
              </w:rPr>
              <w:t>SAR 5,000 on confirmation and SAR 5,000 on prototype presentation. The fee is credited toward implementation when an agreed next-stage project begins within 30 days. Scope and commercial terms are confirmed in writing before work starts.</w:t>
            </w:r>
          </w:p>
        </w:tc>
      </w:tr>
    </w:tbl>
    <w:p>
      <w:pPr>
        <w:spacing w:after="40"/>
      </w:pPr>
    </w:p>
    <w:p>
      <w:pPr>
        <w:pStyle w:val="Heading2"/>
      </w:pPr>
      <w:r>
        <w:t>Sprint deliverables</w:t>
      </w:r>
    </w:p>
    <w:p>
      <w:pPr>
        <w:pStyle w:val="ListNumber3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Leadership discovery. </w:t>
      </w:r>
      <w:r>
        <w:rPr>
          <w:rFonts w:ascii="Calibri" w:hAnsi="Calibri"/>
          <w:color w:val="14201C"/>
          <w:sz w:val="21"/>
        </w:rPr>
        <w:t>A focused 90-minute owner or leadership discussion to define the priority problem and decisions required.</w:t>
      </w:r>
    </w:p>
    <w:p>
      <w:pPr>
        <w:pStyle w:val="ListNumber3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KPI and data-source map. </w:t>
      </w:r>
      <w:r>
        <w:rPr>
          <w:rFonts w:ascii="Calibri" w:hAnsi="Calibri"/>
          <w:color w:val="14201C"/>
          <w:sz w:val="21"/>
        </w:rPr>
        <w:t>A practical map of measures, definitions, users and available data for one agreed business area.</w:t>
      </w:r>
    </w:p>
    <w:p>
      <w:pPr>
        <w:pStyle w:val="ListNumber3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Interactive dashboard prototype. </w:t>
      </w:r>
      <w:r>
        <w:rPr>
          <w:rFonts w:ascii="Calibri" w:hAnsi="Calibri"/>
          <w:color w:val="14201C"/>
          <w:sz w:val="21"/>
        </w:rPr>
        <w:t>A management-ready prototype built from an agreed export or clearly identified sample data.</w:t>
      </w:r>
    </w:p>
    <w:p>
      <w:pPr>
        <w:pStyle w:val="ListNumber3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AI management intelligence. </w:t>
      </w:r>
      <w:r>
        <w:rPr>
          <w:rFonts w:ascii="Calibri" w:hAnsi="Calibri"/>
          <w:color w:val="14201C"/>
          <w:sz w:val="21"/>
        </w:rPr>
        <w:t>Top alerts, likely causes, forecasts and recommended actions relevant to the selected problem.</w:t>
      </w:r>
    </w:p>
    <w:p>
      <w:pPr>
        <w:pStyle w:val="ListNumber3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Executive presentation and roadmap. </w:t>
      </w:r>
      <w:r>
        <w:rPr>
          <w:rFonts w:ascii="Calibri" w:hAnsi="Calibri"/>
          <w:color w:val="14201C"/>
          <w:sz w:val="21"/>
        </w:rPr>
        <w:t>A leadership review of value, gaps, integration options, governance needs and implementation phases.</w:t>
      </w:r>
    </w:p>
    <w:p>
      <w:pPr>
        <w:pStyle w:val="Heading2"/>
      </w:pPr>
      <w:r>
        <w:t>Engagement options after the sprint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Intelligence layer implementation: </w:t>
      </w:r>
      <w:r>
        <w:rPr>
          <w:rFonts w:ascii="Calibri" w:hAnsi="Calibri"/>
          <w:color w:val="14201C"/>
          <w:sz w:val="21"/>
        </w:rPr>
        <w:t>Connect agreed live feeds and deploy role-based dashboards, alerts and workflows above existing systems.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Department or industry edition: </w:t>
      </w:r>
      <w:r>
        <w:rPr>
          <w:rFonts w:ascii="Calibri" w:hAnsi="Calibri"/>
          <w:color w:val="14201C"/>
          <w:sz w:val="21"/>
        </w:rPr>
        <w:t>Deploy a focused solution for finance, sales, operations, HR or a selected business segment.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Enterprise or group rollout: </w:t>
      </w:r>
      <w:r>
        <w:rPr>
          <w:rFonts w:ascii="Calibri" w:hAnsi="Calibri"/>
          <w:color w:val="14201C"/>
          <w:sz w:val="21"/>
        </w:rPr>
        <w:t>Scale progressively across departments, branches, legal entities or countries.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Advisory and transformation programme: </w:t>
      </w:r>
      <w:r>
        <w:rPr>
          <w:rFonts w:ascii="Calibri" w:hAnsi="Calibri"/>
          <w:color w:val="14201C"/>
          <w:sz w:val="21"/>
        </w:rPr>
        <w:t>Combine the platform with senior-led diagnostics, implementation and capability building.</w:t>
      </w:r>
    </w:p>
    <w:p>
      <w:pPr>
        <w:keepNext/>
        <w:pageBreakBefore/>
        <w:spacing w:before="0" w:after="80"/>
        <w:jc w:val="left"/>
      </w:pPr>
      <w:r>
        <w:rPr>
          <w:rFonts w:ascii="Calibri" w:hAnsi="Calibri"/>
          <w:b/>
          <w:color w:val="D8AC4E"/>
          <w:sz w:val="18"/>
        </w:rPr>
        <w:t>FOUNDER-LED DELIVERY</w:t>
      </w:r>
    </w:p>
    <w:p>
      <w:pPr>
        <w:pStyle w:val="Heading1"/>
        <w:spacing w:before="0" w:after="160"/>
        <w:jc w:val="left"/>
        <w:pBdr>
          <w:bottom w:val="single" w:sz="12" w:space="5" w:color="D8AC4E"/>
        </w:pBdr>
      </w:pPr>
      <w:r>
        <w:rPr>
          <w:rFonts w:ascii="Calibri" w:hAnsi="Calibri"/>
          <w:b/>
          <w:color w:val="063C30"/>
          <w:sz w:val="44"/>
        </w:rPr>
        <w:t>Suresh Bhargav - Founder &amp; Principal Consultant</w:t>
      </w:r>
    </w:p>
    <w:p>
      <w:pPr>
        <w:pStyle w:val="ProfileLead"/>
      </w:pPr>
      <w:r>
        <w:t>35+ years of executive leadership across Saudi Arabia, the GCC and India, combining board-level perspective with hands-on implementation.</w:t>
      </w:r>
    </w:p>
    <w:p>
      <w:pPr>
        <w:keepNext w:val="0"/>
        <w:spacing w:before="60" w:after="200"/>
        <w:jc w:val="center"/>
      </w:pPr>
      <w:r>
        <w:drawing>
          <wp:inline xmlns:a="http://schemas.openxmlformats.org/drawingml/2006/main" xmlns:pic="http://schemas.openxmlformats.org/drawingml/2006/picture">
            <wp:extent cx="1481328" cy="1481328"/>
            <wp:docPr id="9" name="Picture 9" descr="Suresh Bhargav, Founder and Principal Consultant of StartAxis Consulting" title="Suresh Bhargav, Founder and Principal Consultant of StartAxis Consult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resh-bhargav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1328" cy="1481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rFonts w:ascii="Calibri" w:hAnsi="Calibri"/>
          <w:color w:val="14201C"/>
          <w:sz w:val="22"/>
        </w:rPr>
        <w:t>Suresh Bhargav has led multi-million-riyal businesses, managed teams of more than 400 employees and held senior roles across automotive, fleet, mobility, distribution, aftersales, heavy equipment, operational excellence, business transformation and performance management.</w:t>
      </w:r>
    </w:p>
    <w:p>
      <w:pPr>
        <w:spacing w:after="100"/>
      </w:pPr>
      <w:r>
        <w:rPr>
          <w:rFonts w:ascii="Calibri" w:hAnsi="Calibri"/>
          <w:color w:val="14201C"/>
          <w:sz w:val="22"/>
        </w:rPr>
        <w:t>His work now combines this operating experience with enterprise AI intelligence, management dashboards, governed Agentic AI, workflow automation and role-based adoption - helping organisations transform AI from a technology trend into practical workplace performance.</w:t>
      </w:r>
    </w:p>
    <w:p>
      <w:pPr>
        <w:pStyle w:val="Heading2"/>
      </w:pPr>
      <w:r>
        <w:t>Why StartAxis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Senior-led: </w:t>
      </w:r>
      <w:r>
        <w:rPr>
          <w:rFonts w:ascii="Calibri" w:hAnsi="Calibri"/>
          <w:color w:val="14201C"/>
          <w:sz w:val="21"/>
        </w:rPr>
        <w:t>Every engagement is personally led by the founder, not handed over to a junior consulting team.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Business-first AI: </w:t>
      </w:r>
      <w:r>
        <w:rPr>
          <w:rFonts w:ascii="Calibri" w:hAnsi="Calibri"/>
          <w:color w:val="14201C"/>
          <w:sz w:val="21"/>
        </w:rPr>
        <w:t>Use cases begin with management decisions, operating realities and measurable value - not technology for its own sake.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Implementation-focused: </w:t>
      </w:r>
      <w:r>
        <w:rPr>
          <w:rFonts w:ascii="Calibri" w:hAnsi="Calibri"/>
          <w:color w:val="14201C"/>
          <w:sz w:val="21"/>
        </w:rPr>
        <w:t>StartAxis works alongside client teams from diagnosis and design through adoption and performance review.</w:t>
      </w:r>
    </w:p>
    <w:p>
      <w:pPr>
        <w:pStyle w:val="ListBullet"/>
        <w:keepLines/>
        <w:jc w:val="left"/>
      </w:pPr>
      <w:r>
        <w:rPr>
          <w:rFonts w:ascii="Calibri" w:hAnsi="Calibri"/>
          <w:b/>
          <w:color w:val="063C30"/>
          <w:sz w:val="21"/>
        </w:rPr>
        <w:t xml:space="preserve">Locally relevant: </w:t>
      </w:r>
      <w:r>
        <w:rPr>
          <w:rFonts w:ascii="Calibri" w:hAnsi="Calibri"/>
          <w:color w:val="14201C"/>
          <w:sz w:val="21"/>
        </w:rPr>
        <w:t>Saudi and GCC operating context combined with cross-functional and multi-industry leadership experience.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9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/>
        <w:tc>
          <w:tcPr>
            <w:tcW w:type="dxa" w:w="9360"/>
            <w:vAlign w:val="center"/>
            <w:shd w:fill="063C30"/>
            <w:tcBorders>
              <w:top w:val="single" w:sz="4" w:color="063C30"/>
              <w:left w:val="single" w:sz="4" w:color="063C30"/>
              <w:bottom w:val="single" w:sz="4" w:color="063C30"/>
              <w:right w:val="single" w:sz="4" w:color="063C30"/>
            </w:tcBorders>
            <w:tcMar>
              <w:top w:w="170" w:type="dxa"/>
              <w:bottom w:w="170" w:type="dxa"/>
              <w:start w:w="190" w:type="dxa"/>
              <w:end w:w="190" w:type="dxa"/>
            </w:tcMar>
          </w:tcPr>
          <w:p>
            <w:pPr>
              <w:spacing w:after="60"/>
              <w:jc w:val="left"/>
            </w:pPr>
            <w:r>
              <w:rPr>
                <w:rFonts w:ascii="Calibri" w:hAnsi="Calibri"/>
                <w:b/>
                <w:color w:val="F0D28E"/>
                <w:sz w:val="17"/>
              </w:rPr>
              <w:t>BOOK A FOUNDER-LED LIVE DEMONSTRATION</w:t>
            </w:r>
          </w:p>
          <w:p>
            <w:pPr>
              <w:spacing w:after="80"/>
              <w:jc w:val="left"/>
            </w:pPr>
            <w:r>
              <w:rPr>
                <w:rFonts w:ascii="Calibri" w:hAnsi="Calibri"/>
                <w:b/>
                <w:color w:val="FFFFFF"/>
                <w:sz w:val="30"/>
              </w:rPr>
              <w:t>Bring one management problem. See what StartAxis can reveal.</w:t>
            </w:r>
          </w:p>
          <w:p>
            <w:pPr>
              <w:spacing w:after="0" w:line="283" w:lineRule="auto"/>
              <w:jc w:val="left"/>
            </w:pPr>
            <w:r>
              <w:rPr>
                <w:rFonts w:ascii="Calibri" w:hAnsi="Calibri"/>
                <w:color w:val="FFFFFF"/>
                <w:sz w:val="20"/>
              </w:rPr>
              <w:t>Suresh Bhargav  |  Riyadh, Saudi Arabia</w:t>
              <w:br/>
              <w:t>+966 50 023 9337  |  suresh@startaxis.net  |  www.startaxis.net</w:t>
            </w:r>
          </w:p>
        </w:tc>
      </w:tr>
    </w:tbl>
    <w:p>
      <w:pPr>
        <w:spacing w:after="40"/>
      </w:pPr>
    </w:p>
    <w:p>
      <w:pPr>
        <w:spacing w:before="20" w:after="0"/>
        <w:jc w:val="center"/>
      </w:pPr>
      <w:hyperlink r:id="rId20">
        <w:r>
          <w:rPr>
            <w:rFonts w:ascii="Calibri" w:hAnsi="Calibri"/>
            <w:color w:val="0A4B3B"/>
            <w:b/>
            <w:u w:val="single"/>
          </w:rPr>
          <w:t>Visit StartAxis.net</w:t>
        </w:r>
      </w:hyperlink>
      <w:r>
        <w:rPr>
          <w:rFonts w:ascii="Calibri" w:hAnsi="Calibri"/>
          <w:color w:val="5E6B66"/>
          <w:sz w:val="20"/>
        </w:rPr>
        <w:t xml:space="preserve">   |   </w:t>
      </w:r>
      <w:hyperlink r:id="rId21">
        <w:r>
          <w:rPr>
            <w:rFonts w:ascii="Calibri" w:hAnsi="Calibri"/>
            <w:color w:val="0A4B3B"/>
            <w:b/>
            <w:u w:val="single"/>
          </w:rPr>
          <w:t>Email Suresh</w:t>
        </w:r>
      </w:hyperlink>
      <w:r>
        <w:rPr>
          <w:rFonts w:ascii="Calibri" w:hAnsi="Calibri"/>
          <w:color w:val="5E6B66"/>
          <w:sz w:val="20"/>
        </w:rPr>
        <w:t xml:space="preserve">   |   </w:t>
      </w:r>
      <w:hyperlink r:id="rId22">
        <w:r>
          <w:rPr>
            <w:rFonts w:ascii="Calibri" w:hAnsi="Calibri"/>
            <w:color w:val="0A4B3B"/>
            <w:b/>
            <w:u w:val="single"/>
          </w:rPr>
          <w:t>WhatsApp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440" w:bottom="1037" w:left="1440" w:header="490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320" w:lineRule="auto"/>
      <w:jc w:val="left"/>
    </w:pPr>
    <w:rPr>
      <w:rFonts w:ascii="Calibri" w:hAnsi="Calibri"/>
      <w:color w:val="1420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jc w:val="left"/>
      <w:outlineLvl w:val="0"/>
    </w:pPr>
    <w:rPr>
      <w:rFonts w:asciiTheme="majorHAnsi" w:eastAsiaTheme="majorEastAsia" w:hAnsiTheme="majorHAnsi" w:cstheme="majorBidi" w:ascii="Calibri" w:hAnsi="Calibri"/>
      <w:b/>
      <w:bCs/>
      <w:color w:val="063C3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Theme="majorHAnsi" w:eastAsiaTheme="majorEastAsia" w:hAnsiTheme="majorHAnsi" w:cstheme="majorBidi" w:ascii="Calibri" w:hAnsi="Calibri"/>
      <w:b/>
      <w:bCs/>
      <w:color w:val="0A4B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 w:ascii="Calibri" w:hAnsi="Calibri"/>
      <w:b/>
      <w:bCs/>
      <w:color w:val="063C3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90" w:lineRule="auto"/>
      <w:ind w:left="540" w:hanging="279"/>
      <w:contextualSpacing/>
      <w:jc w:val="left"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90" w:lineRule="auto"/>
      <w:ind w:left="540" w:hanging="279"/>
      <w:contextualSpacing/>
      <w:jc w:val="left"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290" w:lineRule="auto"/>
      <w:ind w:left="540" w:hanging="279"/>
      <w:contextualSpacing/>
      <w:jc w:val="left"/>
    </w:pPr>
    <w:rPr>
      <w:rFonts w:ascii="Calibri" w:hAnsi="Calibri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80" w:line="290" w:lineRule="auto"/>
      <w:ind w:left="540" w:hanging="279"/>
      <w:contextualSpacing/>
      <w:jc w:val="left"/>
    </w:pPr>
    <w:rPr>
      <w:rFonts w:ascii="Calibri" w:hAnsi="Calibri"/>
      <w:sz w:val="21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fileLead">
    <w:name w:val="Profile Lead"/>
    <w:pPr>
      <w:spacing w:before="0" w:after="240" w:line="300" w:lineRule="auto"/>
      <w:jc w:val="left"/>
    </w:pPr>
    <w:rPr>
      <w:rFonts w:ascii="Calibri" w:hAnsi="Calibri"/>
      <w:color w:val="063C3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hyperlink" Target="https://startaxis.net" TargetMode="External"/><Relationship Id="rId21" Type="http://schemas.openxmlformats.org/officeDocument/2006/relationships/hyperlink" Target="mailto:suresh@startaxis.net" TargetMode="External"/><Relationship Id="rId22" Type="http://schemas.openxmlformats.org/officeDocument/2006/relationships/hyperlink" Target="https://wa.me/9665002393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StartAxis Enterprise Intelligence 360 - Corporate Profile</dc:title>
  <dc:subject>AI-powered management intelligence, Agentic AI and business transformation</dc:subject>
  <dc:creator>StartAxis Consulting</dc:creator>
  <cp:keywords>Enterprise Intelligence 360, AI, Agentic AI, management intelligence, Saudi Arabia, GCC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